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BB" w:rsidRPr="002F42BB" w:rsidRDefault="002F42BB" w:rsidP="002F42BB">
      <w:pPr>
        <w:spacing w:after="0" w:line="240" w:lineRule="atLeast"/>
        <w:jc w:val="center"/>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2F42BB" w:rsidRPr="002F42BB" w:rsidRDefault="002F42BB" w:rsidP="002F42BB">
      <w:pPr>
        <w:spacing w:after="0" w:line="240" w:lineRule="atLeast"/>
        <w:jc w:val="center"/>
        <w:rPr>
          <w:rFonts w:ascii="Times New Roman" w:eastAsia="Times New Roman" w:hAnsi="Times New Roman" w:cs="Times New Roman"/>
          <w:color w:val="000000"/>
          <w:sz w:val="20"/>
          <w:szCs w:val="20"/>
          <w:lang w:eastAsia="tr-TR"/>
        </w:rPr>
      </w:pPr>
      <w:bookmarkStart w:id="0" w:name="A10"/>
      <w:bookmarkEnd w:id="0"/>
      <w:r w:rsidRPr="002F42BB">
        <w:rPr>
          <w:rFonts w:ascii="Times New Roman" w:eastAsia="Times New Roman" w:hAnsi="Times New Roman" w:cs="Times New Roman"/>
          <w:color w:val="000000"/>
          <w:sz w:val="18"/>
          <w:szCs w:val="18"/>
          <w:lang w:eastAsia="tr-TR"/>
        </w:rPr>
        <w:t>TAŞINMAZ SATILACAKTIR</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b/>
          <w:bCs/>
          <w:color w:val="0000CC"/>
          <w:sz w:val="18"/>
          <w:szCs w:val="18"/>
          <w:lang w:eastAsia="tr-TR"/>
        </w:rPr>
        <w:t>Kahramanmaraş Defterdarlığı Milli Emlak Müdürlüğünden:</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İhale Bilgileri www.milliemlak.gov.tr ve www.kahramanmarasdefterdarligi.gov.tr internet adreslerinden öğrenilebilir.</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 </w:t>
      </w:r>
    </w:p>
    <w:tbl>
      <w:tblPr>
        <w:tblW w:w="14175" w:type="dxa"/>
        <w:tblInd w:w="536" w:type="dxa"/>
        <w:tblCellMar>
          <w:left w:w="0" w:type="dxa"/>
          <w:right w:w="0" w:type="dxa"/>
        </w:tblCellMar>
        <w:tblLook w:val="04A0" w:firstRow="1" w:lastRow="0" w:firstColumn="1" w:lastColumn="0" w:noHBand="0" w:noVBand="1"/>
      </w:tblPr>
      <w:tblGrid>
        <w:gridCol w:w="506"/>
        <w:gridCol w:w="918"/>
        <w:gridCol w:w="500"/>
        <w:gridCol w:w="680"/>
        <w:gridCol w:w="2350"/>
        <w:gridCol w:w="1610"/>
        <w:gridCol w:w="1117"/>
        <w:gridCol w:w="2310"/>
        <w:gridCol w:w="1297"/>
        <w:gridCol w:w="1228"/>
        <w:gridCol w:w="963"/>
        <w:gridCol w:w="680"/>
        <w:gridCol w:w="16"/>
      </w:tblGrid>
      <w:tr w:rsidR="002F42BB" w:rsidRPr="002F42BB" w:rsidTr="002F42BB">
        <w:trPr>
          <w:trHeight w:val="270"/>
        </w:trPr>
        <w:tc>
          <w:tcPr>
            <w:tcW w:w="0" w:type="auto"/>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S. N.</w:t>
            </w:r>
          </w:p>
        </w:tc>
        <w:tc>
          <w:tcPr>
            <w:tcW w:w="9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Mahallesi</w:t>
            </w:r>
          </w:p>
        </w:tc>
        <w:tc>
          <w:tcPr>
            <w:tcW w:w="49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ind w:left="-122"/>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Ada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Parsel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Cinsi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İmar Durumu</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Yüzölçümü (m</w:t>
            </w:r>
            <w:r w:rsidRPr="002F42BB">
              <w:rPr>
                <w:rFonts w:ascii="Times New Roman" w:eastAsia="Times New Roman" w:hAnsi="Times New Roman" w:cs="Times New Roman"/>
                <w:sz w:val="18"/>
                <w:szCs w:val="18"/>
                <w:vertAlign w:val="superscript"/>
                <w:lang w:eastAsia="tr-TR"/>
              </w:rPr>
              <w:t>2</w:t>
            </w:r>
            <w:r w:rsidRPr="002F42BB">
              <w:rPr>
                <w:rFonts w:ascii="Times New Roman" w:eastAsia="Times New Roman" w:hAnsi="Times New Roman" w:cs="Times New Roman"/>
                <w:sz w:val="18"/>
                <w:szCs w:val="18"/>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Hazine Hissesi (m</w:t>
            </w:r>
            <w:r w:rsidRPr="002F42BB">
              <w:rPr>
                <w:rFonts w:ascii="Times New Roman" w:eastAsia="Times New Roman" w:hAnsi="Times New Roman" w:cs="Times New Roman"/>
                <w:sz w:val="18"/>
                <w:szCs w:val="18"/>
                <w:vertAlign w:val="superscript"/>
                <w:lang w:eastAsia="tr-TR"/>
              </w:rPr>
              <w:t>2</w:t>
            </w:r>
            <w:r w:rsidRPr="002F42BB">
              <w:rPr>
                <w:rFonts w:ascii="Times New Roman" w:eastAsia="Times New Roman" w:hAnsi="Times New Roman" w:cs="Times New Roman"/>
                <w:sz w:val="18"/>
                <w:szCs w:val="18"/>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Tahmini Bedeli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Geçici Teminatı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İhale Tarihi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42BB" w:rsidRPr="002F42BB" w:rsidRDefault="002F42BB" w:rsidP="002F42BB">
            <w:pPr>
              <w:spacing w:after="0" w:line="24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İhale Saati</w:t>
            </w:r>
          </w:p>
        </w:tc>
        <w:tc>
          <w:tcPr>
            <w:tcW w:w="6" w:type="dxa"/>
            <w:tcBorders>
              <w:top w:val="nil"/>
              <w:left w:val="nil"/>
              <w:bottom w:val="nil"/>
              <w:right w:val="nil"/>
            </w:tcBorders>
            <w:vAlign w:val="center"/>
            <w:hideMark/>
          </w:tcPr>
          <w:p w:rsidR="002F42BB" w:rsidRPr="002F42BB" w:rsidRDefault="002F42BB" w:rsidP="002F42BB">
            <w:pPr>
              <w:spacing w:after="0" w:line="240" w:lineRule="auto"/>
              <w:rPr>
                <w:rFonts w:ascii="Times New Roman" w:eastAsia="Times New Roman" w:hAnsi="Times New Roman" w:cs="Times New Roman"/>
                <w:sz w:val="24"/>
                <w:szCs w:val="24"/>
                <w:lang w:eastAsia="tr-TR"/>
              </w:rPr>
            </w:pPr>
          </w:p>
        </w:tc>
      </w:tr>
      <w:tr w:rsidR="002F42BB" w:rsidRPr="002F42BB" w:rsidTr="002F42BB">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F42BB" w:rsidRPr="002F42BB" w:rsidRDefault="002F42BB" w:rsidP="002F42BB">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2F42BB" w:rsidRPr="002F42BB" w:rsidRDefault="002F42BB" w:rsidP="002F42BB">
            <w:pPr>
              <w:spacing w:after="0" w:line="240" w:lineRule="auto"/>
              <w:rPr>
                <w:rFonts w:ascii="Times New Roman" w:eastAsia="Times New Roman" w:hAnsi="Times New Roman" w:cs="Times New Roman"/>
                <w:sz w:val="24"/>
                <w:szCs w:val="24"/>
                <w:lang w:eastAsia="tr-TR"/>
              </w:rPr>
            </w:pPr>
          </w:p>
        </w:tc>
      </w:tr>
      <w:tr w:rsidR="002F42BB" w:rsidRPr="002F42BB" w:rsidTr="002F42B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1</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Pınarbaşı</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6419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Sosyal ve Kültürel Tesis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İmarlı (E: 1.20, </w:t>
            </w:r>
            <w:proofErr w:type="spellStart"/>
            <w:r w:rsidRPr="002F42BB">
              <w:rPr>
                <w:rFonts w:ascii="Times New Roman" w:eastAsia="Times New Roman" w:hAnsi="Times New Roman" w:cs="Times New Roman"/>
                <w:sz w:val="18"/>
                <w:szCs w:val="18"/>
                <w:lang w:eastAsia="tr-TR"/>
              </w:rPr>
              <w:t>MaksKat</w:t>
            </w:r>
            <w:proofErr w:type="spellEnd"/>
            <w:r w:rsidRPr="002F42BB">
              <w:rPr>
                <w:rFonts w:ascii="Times New Roman" w:eastAsia="Times New Roman" w:hAnsi="Times New Roman" w:cs="Times New Roman"/>
                <w:sz w:val="18"/>
                <w:szCs w:val="18"/>
                <w:lang w:eastAsia="tr-TR"/>
              </w:rPr>
              <w:t>: 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2.617,86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110639/130893 (2.212,78 m</w:t>
            </w:r>
            <w:r w:rsidRPr="002F42BB">
              <w:rPr>
                <w:rFonts w:ascii="Times New Roman" w:eastAsia="Times New Roman" w:hAnsi="Times New Roman" w:cs="Times New Roman"/>
                <w:sz w:val="18"/>
                <w:szCs w:val="18"/>
                <w:vertAlign w:val="superscript"/>
                <w:lang w:eastAsia="tr-TR"/>
              </w:rPr>
              <w:t>2</w:t>
            </w:r>
            <w:r w:rsidRPr="002F42BB">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2.542.000,00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762.600,00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10.05.2018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42BB" w:rsidRPr="002F42BB" w:rsidRDefault="002F42BB" w:rsidP="002F42BB">
            <w:pPr>
              <w:spacing w:after="0" w:line="20" w:lineRule="atLeast"/>
              <w:jc w:val="center"/>
              <w:rPr>
                <w:rFonts w:ascii="Times New Roman" w:eastAsia="Times New Roman" w:hAnsi="Times New Roman" w:cs="Times New Roman"/>
                <w:sz w:val="20"/>
                <w:szCs w:val="20"/>
                <w:lang w:eastAsia="tr-TR"/>
              </w:rPr>
            </w:pPr>
            <w:r w:rsidRPr="002F42BB">
              <w:rPr>
                <w:rFonts w:ascii="Times New Roman" w:eastAsia="Times New Roman" w:hAnsi="Times New Roman" w:cs="Times New Roman"/>
                <w:sz w:val="18"/>
                <w:szCs w:val="18"/>
                <w:lang w:eastAsia="tr-TR"/>
              </w:rPr>
              <w:t>10.30</w:t>
            </w:r>
          </w:p>
        </w:tc>
        <w:tc>
          <w:tcPr>
            <w:tcW w:w="6" w:type="dxa"/>
            <w:tcBorders>
              <w:top w:val="nil"/>
              <w:left w:val="nil"/>
              <w:bottom w:val="nil"/>
              <w:right w:val="nil"/>
            </w:tcBorders>
            <w:vAlign w:val="center"/>
            <w:hideMark/>
          </w:tcPr>
          <w:p w:rsidR="002F42BB" w:rsidRPr="002F42BB" w:rsidRDefault="002F42BB" w:rsidP="002F42BB">
            <w:pPr>
              <w:spacing w:after="0" w:line="240" w:lineRule="auto"/>
              <w:rPr>
                <w:rFonts w:ascii="Times New Roman" w:eastAsia="Times New Roman" w:hAnsi="Times New Roman" w:cs="Times New Roman"/>
                <w:sz w:val="2"/>
                <w:szCs w:val="24"/>
                <w:lang w:eastAsia="tr-TR"/>
              </w:rPr>
            </w:pPr>
          </w:p>
        </w:tc>
      </w:tr>
    </w:tbl>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 </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1 - Yukarıda nitelikleri belirtilen taşınmazlar ve araç 2886 Sayılı Devlet İhale Kanunu’nun 45. maddesi gereğince AÇIK TEKLİF USULU ile karşısında yazılı tarih ve saatte Defterdarlık Milli Emlak Müdürlüğünde teşekkül edecek komisyon huzurunda İhale odasında satış ihalesi yapılacaktır.</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2 - İhaleye Katılmak İsteyen İsteklilerin;</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a) Bu iş için ihaleden önce yatırılacak Geçici Teminat bedeline ilişkin makbuzunu veya şekli ve içeriği 2886 Sayılı Kanunun 27. Maddesi uyarınca yayımlanmış Devlet İhale Genelgelerinde belirtilen şartları (süresiz ve limit içi olarak düzenlenecek, teyit yazısı işin özelliğini belirtecek) taşıyan Banka Teminat Mektubunu, (Geçici Teminat olarak, 2886 Sayılı Devlet İhale Kanununun 26. Maddesinde belirtilen değerlerden olan tedavüldeki Türk parası, dışarıda yerleşik kişiler ile geçimini yurt dışından temin eden Türk vatandaşlarından teminat olarak T.C. Merkez bankasınca belirtilen </w:t>
      </w:r>
      <w:proofErr w:type="gramStart"/>
      <w:r w:rsidRPr="002F42BB">
        <w:rPr>
          <w:rFonts w:ascii="Times New Roman" w:eastAsia="Times New Roman" w:hAnsi="Times New Roman" w:cs="Times New Roman"/>
          <w:color w:val="000000"/>
          <w:sz w:val="18"/>
          <w:szCs w:val="18"/>
          <w:lang w:eastAsia="tr-TR"/>
        </w:rPr>
        <w:t>konvertibl</w:t>
      </w:r>
      <w:proofErr w:type="gramEnd"/>
      <w:r w:rsidRPr="002F42BB">
        <w:rPr>
          <w:rFonts w:ascii="Times New Roman" w:eastAsia="Times New Roman" w:hAnsi="Times New Roman" w:cs="Times New Roman"/>
          <w:color w:val="000000"/>
          <w:sz w:val="18"/>
          <w:szCs w:val="18"/>
          <w:lang w:eastAsia="tr-TR"/>
        </w:rPr>
        <w:t> döviz, mevduat veya katılım bankalarının verecekleri süresiz teminat mektupları ve Hazine Müsteşarlığınca ihraç edilen Devlet iç borçlanma senetleri veya bu senetler yerine düzenlenen belgelerden herhangi biri kabul edilir.)</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b) Yasal yerleşim yeri sahibi olmaları ve tebligat için Türkiye’de adres göstermeleri,</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c) Gerçek kişilerin T.C. Kimlik Numaralı nüfus cüzdanı suretini (aslı ihale sırasında ibraz edilecektir.), tüzel kişilerin ise vergi kimlik numarasını,</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2BB">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yukarıdaki (a) ve (b) bentlerinde belirtilen şartlardan ayrı olarak tüzel kişilik adına ihaleye katılacak veya teklifte bulunacak kişilerin tüzel kişiliği temsile yetkili olduğunu belirtir belgeyi ve nüfus cüzdanı fotokopilerini,</w:t>
      </w:r>
      <w:proofErr w:type="gramEnd"/>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e) Gerçek kişiler adına vekâleten ihaleye girecek kişilerin noter onaylı vekâletnamelerini İhale saatine kadar ihale komisyonuna bizzat teslim etmeleri gerekmektedir.</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3 - İhalelere ait şartnameler mesai saatlerinde Defterdarlık Milli Emlak Müdürlüğü Servisinde ücretsiz olarak görülebilir.</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4 - Postayla yapılacak müracaatlarda teklifin, 2886 Sayılı Devlet İhale Kanununun 37. Maddesine uygun hazırlanması ve teklifin iadeli taahhütlü olarak istenilen diğer belgelerle birlikte ihale saatine kadar Komisyon Başkanlığına ulaşması gerekmektedir. Postada meydana gelebilecek gecikmelerden idare ve ihale komisyonu sorumlu değildir.</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5 - 2886 Sayılı Devlet İhale Kanununun 29. Maddesine göre, İhale Komisyonu, ihaleyi yapıp yapmamakta serbesttir.</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6 - 4706 Sayılı Yasa’nın 7. maddesi uyarınca taşınmaz malların satış ve devir işlemleri ve bu işlemler sırasında düzenlenen belgeler vergi, </w:t>
      </w:r>
      <w:proofErr w:type="gramStart"/>
      <w:r w:rsidRPr="002F42BB">
        <w:rPr>
          <w:rFonts w:ascii="Times New Roman" w:eastAsia="Times New Roman" w:hAnsi="Times New Roman" w:cs="Times New Roman"/>
          <w:color w:val="000000"/>
          <w:sz w:val="18"/>
          <w:szCs w:val="18"/>
          <w:lang w:eastAsia="tr-TR"/>
        </w:rPr>
        <w:t>resim,</w:t>
      </w:r>
      <w:proofErr w:type="gramEnd"/>
      <w:r w:rsidRPr="002F42BB">
        <w:rPr>
          <w:rFonts w:ascii="Times New Roman" w:eastAsia="Times New Roman" w:hAnsi="Times New Roman" w:cs="Times New Roman"/>
          <w:color w:val="000000"/>
          <w:sz w:val="18"/>
          <w:szCs w:val="18"/>
          <w:lang w:eastAsia="tr-TR"/>
        </w:rPr>
        <w:t> ve harçtan müstesnadır. Satışı yapılan taşınmaz mallar satış tarihini takip eden yıldan itibaren 5 (Beş) yıl süre ile Emlak Vergisinden muaftır. Satış bedelinin taksitle ödenmek istenilmesi halinde, satış bedelinin 1/4’ü peşin kalan kısmı taksit tutarları eşit olarak belirlenmek suretiyle 3’er aylık dönemler halinde en fazla 2 yılda Kanuni faiziyle birlikte ödenebilir. (www.milliemlak.gov.tr) Tel: 0344 225 47 77</w:t>
      </w:r>
    </w:p>
    <w:p w:rsidR="002F42BB" w:rsidRPr="002F42BB" w:rsidRDefault="002F42BB" w:rsidP="002F42BB">
      <w:pPr>
        <w:spacing w:after="0" w:line="240" w:lineRule="atLeast"/>
        <w:ind w:firstLine="567"/>
        <w:jc w:val="both"/>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İlan olunur.</w:t>
      </w:r>
    </w:p>
    <w:p w:rsidR="002F42BB" w:rsidRPr="002F42BB" w:rsidRDefault="002F42BB" w:rsidP="002F42BB">
      <w:pPr>
        <w:spacing w:after="0" w:line="240" w:lineRule="atLeast"/>
        <w:ind w:firstLine="567"/>
        <w:jc w:val="right"/>
        <w:rPr>
          <w:rFonts w:ascii="Times New Roman" w:eastAsia="Times New Roman" w:hAnsi="Times New Roman" w:cs="Times New Roman"/>
          <w:color w:val="000000"/>
          <w:sz w:val="20"/>
          <w:szCs w:val="20"/>
          <w:lang w:eastAsia="tr-TR"/>
        </w:rPr>
      </w:pPr>
      <w:r w:rsidRPr="002F42BB">
        <w:rPr>
          <w:rFonts w:ascii="Times New Roman" w:eastAsia="Times New Roman" w:hAnsi="Times New Roman" w:cs="Times New Roman"/>
          <w:color w:val="000000"/>
          <w:sz w:val="18"/>
          <w:szCs w:val="18"/>
          <w:lang w:eastAsia="tr-TR"/>
        </w:rPr>
        <w:t>3714/1-1</w:t>
      </w:r>
    </w:p>
    <w:p w:rsidR="002F42BB" w:rsidRPr="002F42BB" w:rsidRDefault="002F42BB" w:rsidP="002F42BB">
      <w:pPr>
        <w:spacing w:after="0" w:line="240" w:lineRule="atLeast"/>
        <w:rPr>
          <w:rFonts w:ascii="Times New Roman" w:eastAsia="Times New Roman" w:hAnsi="Times New Roman" w:cs="Times New Roman"/>
          <w:color w:val="000000"/>
          <w:sz w:val="27"/>
          <w:szCs w:val="27"/>
          <w:lang w:eastAsia="tr-TR"/>
        </w:rPr>
      </w:pPr>
      <w:hyperlink r:id="rId5" w:anchor="_top" w:history="1">
        <w:r w:rsidRPr="002F42BB">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rsidSect="002F42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BB"/>
    <w:rsid w:val="001F5166"/>
    <w:rsid w:val="002F42B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F42BB"/>
  </w:style>
  <w:style w:type="character" w:customStyle="1" w:styleId="grame">
    <w:name w:val="grame"/>
    <w:basedOn w:val="VarsaylanParagrafYazTipi"/>
    <w:rsid w:val="002F42BB"/>
  </w:style>
  <w:style w:type="paragraph" w:styleId="NormalWeb">
    <w:name w:val="Normal (Web)"/>
    <w:basedOn w:val="Normal"/>
    <w:uiPriority w:val="99"/>
    <w:semiHidden/>
    <w:unhideWhenUsed/>
    <w:rsid w:val="002F42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42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F42BB"/>
  </w:style>
  <w:style w:type="character" w:customStyle="1" w:styleId="grame">
    <w:name w:val="grame"/>
    <w:basedOn w:val="VarsaylanParagrafYazTipi"/>
    <w:rsid w:val="002F42BB"/>
  </w:style>
  <w:style w:type="paragraph" w:styleId="NormalWeb">
    <w:name w:val="Normal (Web)"/>
    <w:basedOn w:val="Normal"/>
    <w:uiPriority w:val="99"/>
    <w:semiHidden/>
    <w:unhideWhenUsed/>
    <w:rsid w:val="002F42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4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2018-04-27T07:25:00Z</dcterms:created>
  <dcterms:modified xsi:type="dcterms:W3CDTF">2018-04-27T07:25:00Z</dcterms:modified>
</cp:coreProperties>
</file>